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# NYC PUBLIC EQUITY TRANSFER ACT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LEGISLATIVE SUMMARY &amp; EXECUTIVE BRIEF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**Final Draft | December 30, 2025**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EXECUTIVE SUMMARY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The **Public Equity Transfer (PET) Act** is a comprehensive NYC municipal law that restructures $680 million in annual housing subsidies from traditional rental assistance into **tenant-owned housing**, mediated through **Community Land Trusts (CLTs)**, financed by **mission-driven credit unions**, and tracked through disaggregated equity metrics.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Over 10 years (2026</w:t>
      </w:r>
      <w:r>
        <w:rPr>
          <w:rtl w:val="0"/>
        </w:rPr>
        <w:t>–</w:t>
      </w:r>
      <w:r>
        <w:rPr>
          <w:rtl w:val="0"/>
        </w:rPr>
        <w:t>2035):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**5,600 eligible households** convert from rent subsidies to homeownership</w:t>
      </w:r>
    </w:p>
    <w:p>
      <w:pPr>
        <w:pStyle w:val="Body"/>
        <w:bidi w:val="0"/>
      </w:pPr>
      <w:r>
        <w:rPr>
          <w:rtl w:val="0"/>
          <w:lang w:val="en-US"/>
        </w:rPr>
        <w:t>- **$572.6M in intergenerational wealth** accrues to BIPOC and low-income families</w:t>
      </w:r>
    </w:p>
    <w:p>
      <w:pPr>
        <w:pStyle w:val="Body"/>
        <w:bidi w:val="0"/>
      </w:pPr>
      <w:r>
        <w:rPr>
          <w:rtl w:val="0"/>
          <w:lang w:val="en-US"/>
        </w:rPr>
        <w:t>- **$197.4M in community wealth** captured by CLTs for perpetual affordability</w:t>
      </w:r>
    </w:p>
    <w:p>
      <w:pPr>
        <w:pStyle w:val="Body"/>
        <w:bidi w:val="0"/>
      </w:pPr>
      <w:r>
        <w:rPr>
          <w:rtl w:val="0"/>
          <w:lang w:val="en-US"/>
        </w:rPr>
        <w:t>- **$133.4M in property tax revenue** recovers to municipal coffers</w:t>
      </w:r>
    </w:p>
    <w:p>
      <w:pPr>
        <w:pStyle w:val="Body"/>
        <w:bidi w:val="0"/>
      </w:pPr>
      <w:r>
        <w:rPr>
          <w:rtl w:val="0"/>
          <w:lang w:val="en-US"/>
        </w:rPr>
        <w:t>- **1.296x municipal ROI** on initial $680M investment (plus $680M federal/private leverage)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LEGISLATIVE INTENT &amp; FINDINGS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Core Problem Statement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NYC spends **$2.1 billion annually** on housing subsidies (HPD, HRA, NYCHA, Section 8) yet: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Produces no homeowner equity for beneficiaries</w:t>
      </w:r>
    </w:p>
    <w:p>
      <w:pPr>
        <w:pStyle w:val="Body"/>
        <w:bidi w:val="0"/>
      </w:pPr>
      <w:r>
        <w:rPr>
          <w:rtl w:val="0"/>
          <w:lang w:val="en-US"/>
        </w:rPr>
        <w:t>- Creates intergenerational poverty traps</w:t>
      </w:r>
    </w:p>
    <w:p>
      <w:pPr>
        <w:pStyle w:val="Body"/>
        <w:bidi w:val="0"/>
      </w:pPr>
      <w:r>
        <w:rPr>
          <w:rtl w:val="0"/>
          <w:lang w:val="en-US"/>
        </w:rPr>
        <w:t>- Generates zero municipal wealth recapture</w:t>
      </w:r>
    </w:p>
    <w:p>
      <w:pPr>
        <w:pStyle w:val="Body"/>
        <w:bidi w:val="0"/>
      </w:pPr>
      <w:r>
        <w:rPr>
          <w:rtl w:val="0"/>
          <w:lang w:val="en-US"/>
        </w:rPr>
        <w:t>- Excludes 40%+ BIPOC and low-income households from ownership pathways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Solution Framework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Reallocate existing subsidy budgets into **equity investments** that: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 Convert eligible tenants to homeowners with permanent affordability</w:t>
      </w:r>
    </w:p>
    <w:p>
      <w:pPr>
        <w:pStyle w:val="Body"/>
        <w:bidi w:val="0"/>
      </w:pPr>
      <w:r>
        <w:rPr>
          <w:rtl w:val="0"/>
          <w:lang w:val="en-US"/>
        </w:rPr>
        <w:t>1. Channel credit union financing to underserved borrowers</w:t>
      </w:r>
    </w:p>
    <w:p>
      <w:pPr>
        <w:pStyle w:val="Body"/>
        <w:bidi w:val="0"/>
      </w:pPr>
      <w:r>
        <w:rPr>
          <w:rtl w:val="0"/>
          <w:lang w:val="en-US"/>
        </w:rPr>
        <w:t>1. Deploy CLT ground leases to cap speculation and preserve equity</w:t>
      </w:r>
    </w:p>
    <w:p>
      <w:pPr>
        <w:pStyle w:val="Body"/>
        <w:bidi w:val="0"/>
      </w:pPr>
      <w:r>
        <w:rPr>
          <w:rtl w:val="0"/>
          <w:lang w:val="en-US"/>
        </w:rPr>
        <w:t>1. Track outcomes by race, income, family type, tenure, borough</w:t>
      </w:r>
    </w:p>
    <w:p>
      <w:pPr>
        <w:pStyle w:val="Body"/>
        <w:bidi w:val="0"/>
      </w:pPr>
      <w:r>
        <w:rPr>
          <w:rtl w:val="0"/>
          <w:lang w:val="en-US"/>
        </w:rPr>
        <w:t>1. Recapture subsidy dollars as property tax revenue + municipal wealth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Key Policy Innovations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**Subsidy Reallocation** (not new spending): Tier subsidy conversion across HPD, HRA, NYCHA</w:t>
      </w:r>
    </w:p>
    <w:p>
      <w:pPr>
        <w:pStyle w:val="Body"/>
        <w:bidi w:val="0"/>
      </w:pPr>
      <w:r>
        <w:rPr>
          <w:rtl w:val="0"/>
          <w:lang w:val="en-US"/>
        </w:rPr>
        <w:t>- **Intergenerational Focus**: Measure wealth transfer at 5/10/20/30-year milestones</w:t>
      </w:r>
    </w:p>
    <w:p>
      <w:pPr>
        <w:pStyle w:val="Body"/>
        <w:bidi w:val="0"/>
      </w:pPr>
      <w:r>
        <w:rPr>
          <w:rtl w:val="0"/>
          <w:lang w:val="en-US"/>
        </w:rPr>
        <w:t>- **Equity Gatekeeping**: 40% BIPOC target, 15% very-low-income minimum</w:t>
      </w:r>
    </w:p>
    <w:p>
      <w:pPr>
        <w:pStyle w:val="Body"/>
        <w:bidi w:val="0"/>
      </w:pPr>
      <w:r>
        <w:rPr>
          <w:rtl w:val="0"/>
          <w:lang w:val="en-US"/>
        </w:rPr>
        <w:t>- **CLT Integration**: 12 existing NYC CLTs + new partnership grants</w:t>
      </w:r>
    </w:p>
    <w:p>
      <w:pPr>
        <w:pStyle w:val="Body"/>
        <w:bidi w:val="0"/>
      </w:pPr>
      <w:r>
        <w:rPr>
          <w:rtl w:val="0"/>
          <w:lang w:val="en-US"/>
        </w:rPr>
        <w:t>- **Credit Union Partnership**: 30-year fixed @ 5.5</w:t>
      </w:r>
      <w:r>
        <w:rPr>
          <w:rtl w:val="0"/>
        </w:rPr>
        <w:t>–</w:t>
      </w:r>
      <w:r>
        <w:rPr>
          <w:rtl w:val="0"/>
          <w:lang w:val="en-US"/>
        </w:rPr>
        <w:t>6.8%, 100% LTV for share loans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LEGISLATIVE STRUCTURE (Sections 1</w:t>
      </w:r>
      <w:r>
        <w:rPr>
          <w:rtl w:val="0"/>
        </w:rPr>
        <w:t>–</w:t>
      </w:r>
      <w:r>
        <w:rPr>
          <w:rtl w:val="0"/>
        </w:rPr>
        <w:t>15)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1: Short Title &amp; Findings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Legislative findings on subsidy inefficiency, wealth gap, CLT efficacy</w:t>
      </w:r>
    </w:p>
    <w:p>
      <w:pPr>
        <w:pStyle w:val="Body"/>
        <w:bidi w:val="0"/>
      </w:pPr>
      <w:r>
        <w:rPr>
          <w:rtl w:val="0"/>
          <w:lang w:val="en-US"/>
        </w:rPr>
        <w:t>- Legislative intent: "equity investment" reframing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2: Definitions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**Public Equity Transfer Framework**: Defined as subsidy-to-ownership conversion model</w:t>
      </w:r>
    </w:p>
    <w:p>
      <w:pPr>
        <w:pStyle w:val="Body"/>
        <w:bidi w:val="0"/>
      </w:pPr>
      <w:r>
        <w:rPr>
          <w:rtl w:val="0"/>
          <w:lang w:val="en-US"/>
        </w:rPr>
        <w:t xml:space="preserve">- **Eligible Household**: Income </w:t>
      </w:r>
      <w:r>
        <w:rPr>
          <w:rtl w:val="0"/>
        </w:rPr>
        <w:t>≤</w:t>
      </w:r>
      <w:r>
        <w:rPr>
          <w:rtl w:val="0"/>
          <w:lang w:val="en-US"/>
        </w:rPr>
        <w:t>120% AMI, 12-month rent payment history</w:t>
      </w:r>
    </w:p>
    <w:p>
      <w:pPr>
        <w:pStyle w:val="Body"/>
        <w:bidi w:val="0"/>
      </w:pPr>
      <w:r>
        <w:rPr>
          <w:rtl w:val="0"/>
          <w:lang w:val="en-US"/>
        </w:rPr>
        <w:t>- **Community Land Trust**: Nonprofit holding title to land, leasing to homeowners</w:t>
      </w:r>
    </w:p>
    <w:p>
      <w:pPr>
        <w:pStyle w:val="Body"/>
        <w:bidi w:val="0"/>
      </w:pPr>
      <w:r>
        <w:rPr>
          <w:rtl w:val="0"/>
          <w:lang w:val="en-US"/>
        </w:rPr>
        <w:t>- **Affordability Covenant**: 30+ year resale restriction per formula</w:t>
      </w:r>
    </w:p>
    <w:p>
      <w:pPr>
        <w:pStyle w:val="Body"/>
        <w:bidi w:val="0"/>
      </w:pPr>
      <w:r>
        <w:rPr>
          <w:rtl w:val="0"/>
          <w:lang w:val="en-US"/>
        </w:rPr>
        <w:t>- **Intergenerational Wealth Metric**: Measured at homeowner level; reported disaggregated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3: Department Responsibilities &amp; PETO Governance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HPD creates **Public Equity Transfer Office (PETO)** within existing structure</w:t>
      </w:r>
    </w:p>
    <w:p>
      <w:pPr>
        <w:pStyle w:val="Body"/>
        <w:bidi w:val="0"/>
      </w:pPr>
      <w:r>
        <w:rPr>
          <w:rtl w:val="0"/>
          <w:lang w:val="en-US"/>
        </w:rPr>
        <w:t>- PETO Director reports to Commissioner</w:t>
      </w:r>
    </w:p>
    <w:p>
      <w:pPr>
        <w:pStyle w:val="Body"/>
        <w:bidi w:val="0"/>
      </w:pPr>
      <w:r>
        <w:rPr>
          <w:rtl w:val="0"/>
          <w:lang w:val="en-US"/>
        </w:rPr>
        <w:t>- PETO coordinates across HPD, HRA, NYCHA, DCP, DOF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4: Subsidy Reallocation &amp; Financial Mechanics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**Total Reallocation**: $680M over 10 years</w:t>
      </w:r>
    </w:p>
    <w:p>
      <w:pPr>
        <w:pStyle w:val="Body"/>
        <w:bidi w:val="0"/>
      </w:pPr>
      <w:r>
        <w:rPr>
          <w:rtl w:val="0"/>
          <w:lang w:val="en-US"/>
        </w:rPr>
        <w:t>- **Source**: HPD capital reallocation ($300M) + HRA subsidy conversion ($200M) + NYCHA PACT savings ($180M)</w:t>
      </w:r>
    </w:p>
    <w:p>
      <w:pPr>
        <w:pStyle w:val="Body"/>
        <w:bidi w:val="0"/>
      </w:pPr>
      <w:r>
        <w:rPr>
          <w:rtl w:val="0"/>
          <w:lang w:val="en-US"/>
        </w:rPr>
        <w:t>- **Uses**: Down payment assistance (20% per HH), CLT grants, CU partner training, legal/counseling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5: Three Tiered Ownership Pathways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 **Limited-Equity Cooperative (LEC) via CLT**: Share buydown via credit union; cooperative board governance</w:t>
      </w:r>
    </w:p>
    <w:p>
      <w:pPr>
        <w:pStyle w:val="Body"/>
        <w:bidi w:val="0"/>
      </w:pPr>
      <w:r>
        <w:rPr>
          <w:rtl w:val="0"/>
          <w:lang w:val="en-US"/>
        </w:rPr>
        <w:t>1. **CLT Ground Lease Homeownership**: Fee-simple home ownership on CLT-held land; resale formula capped appreciation</w:t>
      </w:r>
    </w:p>
    <w:p>
      <w:pPr>
        <w:pStyle w:val="Body"/>
        <w:bidi w:val="0"/>
      </w:pPr>
      <w:r>
        <w:rPr>
          <w:rtl w:val="0"/>
          <w:lang w:val="en-US"/>
        </w:rPr>
        <w:t>1. **Conventional Covenant-Secured Ownership**: Standard mortgage on CLT-held property; 30-year affordability deed lien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6: Affordability Covenants &amp; Enforcement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- **Resale Formula**: \[Original Price </w:t>
      </w:r>
      <w:r>
        <w:rPr>
          <w:rtl w:val="0"/>
        </w:rPr>
        <w:t xml:space="preserve">× </w:t>
      </w:r>
      <w:r>
        <w:rPr>
          <w:rtl w:val="0"/>
          <w:lang w:val="en-US"/>
        </w:rPr>
        <w:t xml:space="preserve">(1 + CPI)^Years\] + \[40% </w:t>
      </w:r>
      <w:r>
        <w:rPr>
          <w:rtl w:val="0"/>
        </w:rPr>
        <w:t xml:space="preserve">× </w:t>
      </w:r>
      <w:r>
        <w:rPr>
          <w:rtl w:val="0"/>
          <w:lang w:val="en-US"/>
        </w:rPr>
        <w:t>Appreciation Above CPI\]</w:t>
      </w:r>
    </w:p>
    <w:p>
      <w:pPr>
        <w:pStyle w:val="Body"/>
        <w:bidi w:val="0"/>
      </w:pPr>
      <w:r>
        <w:rPr>
          <w:rtl w:val="0"/>
          <w:lang w:val="en-US"/>
        </w:rPr>
        <w:t>- **Right of First Refusal**: CLT has 30-day ROFR on all resales</w:t>
      </w:r>
    </w:p>
    <w:p>
      <w:pPr>
        <w:pStyle w:val="Body"/>
        <w:bidi w:val="0"/>
      </w:pPr>
      <w:r>
        <w:rPr>
          <w:rtl w:val="0"/>
          <w:lang w:val="en-US"/>
        </w:rPr>
        <w:t>- **Title Lien Recording**: Permanent affordability covenant recorded against deed</w:t>
      </w:r>
    </w:p>
    <w:p>
      <w:pPr>
        <w:pStyle w:val="Body"/>
        <w:bidi w:val="0"/>
      </w:pPr>
      <w:r>
        <w:rPr>
          <w:rtl w:val="0"/>
          <w:lang w:val="en-US"/>
        </w:rPr>
        <w:t>- **Equity Recapture**: Sales above formula price: 60% to CLT, 40% to seller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7: Credit Union Partnership Mechanism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**Authorized Partners**: NCUA-chartered credit unions + mission-driven banks</w:t>
      </w:r>
    </w:p>
    <w:p>
      <w:pPr>
        <w:pStyle w:val="Body"/>
        <w:bidi w:val="0"/>
      </w:pPr>
      <w:r>
        <w:rPr>
          <w:rtl w:val="0"/>
          <w:lang w:val="en-US"/>
        </w:rPr>
        <w:t>- **Loan Products**: 30-year fixed @ 5.5</w:t>
      </w:r>
      <w:r>
        <w:rPr>
          <w:rtl w:val="0"/>
        </w:rPr>
        <w:t>–</w:t>
      </w:r>
      <w:r>
        <w:rPr>
          <w:rtl w:val="0"/>
          <w:lang w:val="en-US"/>
        </w:rPr>
        <w:t>6.8%, 20-year @ 5.5</w:t>
      </w:r>
      <w:r>
        <w:rPr>
          <w:rtl w:val="0"/>
        </w:rPr>
        <w:t>–</w:t>
      </w:r>
      <w:r>
        <w:rPr>
          <w:rtl w:val="0"/>
          <w:lang w:val="en-US"/>
        </w:rPr>
        <w:t>6.5%, share loans @ 100% LTV</w:t>
      </w:r>
    </w:p>
    <w:p>
      <w:pPr>
        <w:pStyle w:val="Body"/>
        <w:bidi w:val="0"/>
      </w:pPr>
      <w:r>
        <w:rPr>
          <w:rtl w:val="0"/>
          <w:lang w:val="en-US"/>
        </w:rPr>
        <w:t>- **Underwriting Standards**: Credit score 580+, non-traditional credit allowed</w:t>
      </w:r>
    </w:p>
    <w:p>
      <w:pPr>
        <w:pStyle w:val="Body"/>
        <w:bidi w:val="0"/>
      </w:pPr>
      <w:r>
        <w:rPr>
          <w:rtl w:val="0"/>
          <w:lang w:val="en-US"/>
        </w:rPr>
        <w:t>- **Default Mitigation**: 120-day forbearance, loan modification, deed-in-lieu options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8: CLT Integration &amp; Governance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**12 Existing NYC CLT Partners**: Harlem CLT, East New York CLT, Brooklyn CLT, etc.</w:t>
      </w:r>
    </w:p>
    <w:p>
      <w:pPr>
        <w:pStyle w:val="Body"/>
        <w:bidi w:val="0"/>
      </w:pPr>
      <w:r>
        <w:rPr>
          <w:rtl w:val="0"/>
          <w:lang w:val="en-US"/>
        </w:rPr>
        <w:t>- **Annual Grant Structure**: $600K</w:t>
      </w:r>
      <w:r>
        <w:rPr>
          <w:rtl w:val="0"/>
        </w:rPr>
        <w:t>–</w:t>
      </w:r>
      <w:r>
        <w:rPr>
          <w:rtl w:val="0"/>
          <w:lang w:val="en-US"/>
        </w:rPr>
        <w:t>$2M per CLT per year (10-year commitment = $11M</w:t>
      </w:r>
      <w:r>
        <w:rPr>
          <w:rtl w:val="0"/>
        </w:rPr>
        <w:t>–</w:t>
      </w:r>
      <w:r>
        <w:rPr>
          <w:rtl w:val="0"/>
          <w:lang w:val="en-US"/>
        </w:rPr>
        <w:t>$18M per CLT)</w:t>
      </w:r>
    </w:p>
    <w:p>
      <w:pPr>
        <w:pStyle w:val="Body"/>
        <w:bidi w:val="0"/>
      </w:pPr>
      <w:r>
        <w:rPr>
          <w:rtl w:val="0"/>
          <w:lang w:val="en-US"/>
        </w:rPr>
        <w:t>- **Performance Gates**: 85%+ completion rate, \&lt;2% default, &gt;85% member satisfaction</w:t>
      </w:r>
    </w:p>
    <w:p>
      <w:pPr>
        <w:pStyle w:val="Body"/>
        <w:bidi w:val="0"/>
      </w:pPr>
      <w:r>
        <w:rPr>
          <w:rtl w:val="0"/>
          <w:lang w:val="en-US"/>
        </w:rPr>
        <w:t>- **Equity Governance**: 50%+ board = current/former homeowners; 40%+ BIPOC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9: Implementation Timeline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**Phase I (Yr 1</w:t>
      </w:r>
      <w:r>
        <w:rPr>
          <w:rtl w:val="0"/>
        </w:rPr>
        <w:t>–</w:t>
      </w:r>
      <w:r>
        <w:rPr>
          <w:rtl w:val="0"/>
          <w:lang w:val="en-US"/>
        </w:rPr>
        <w:t>3)**: 750 conversions/year; HPD subsidy identification; CU partner recruitment</w:t>
      </w:r>
    </w:p>
    <w:p>
      <w:pPr>
        <w:pStyle w:val="Body"/>
        <w:bidi w:val="0"/>
      </w:pPr>
      <w:r>
        <w:rPr>
          <w:rtl w:val="0"/>
          <w:lang w:val="en-US"/>
        </w:rPr>
        <w:t>- **Phase II (Yr 4</w:t>
      </w:r>
      <w:r>
        <w:rPr>
          <w:rtl w:val="0"/>
        </w:rPr>
        <w:t>–</w:t>
      </w:r>
      <w:r>
        <w:rPr>
          <w:rtl w:val="0"/>
          <w:lang w:val="en-US"/>
        </w:rPr>
        <w:t>7)**: 1,250 conversions/year; scaled CLT capacity; state supplemental funding</w:t>
      </w:r>
    </w:p>
    <w:p>
      <w:pPr>
        <w:pStyle w:val="Body"/>
        <w:bidi w:val="0"/>
      </w:pPr>
      <w:r>
        <w:rPr>
          <w:rtl w:val="0"/>
          <w:lang w:val="en-US"/>
        </w:rPr>
        <w:t>- **Phase III (Yr 8</w:t>
      </w:r>
      <w:r>
        <w:rPr>
          <w:rtl w:val="0"/>
        </w:rPr>
        <w:t>–</w:t>
      </w:r>
      <w:r>
        <w:rPr>
          <w:rtl w:val="0"/>
          <w:lang w:val="en-US"/>
        </w:rPr>
        <w:t>10)**: 1,700 conversions/year; replication model; system optimization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10: Equity Accountability &amp; Disaggregated Reporting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**Annual Report**: Race/ethnicity, income, family type, borough, tenure</w:t>
      </w:r>
    </w:p>
    <w:p>
      <w:pPr>
        <w:pStyle w:val="Body"/>
        <w:bidi w:val="0"/>
      </w:pPr>
      <w:r>
        <w:rPr>
          <w:rtl w:val="0"/>
          <w:lang w:val="en-US"/>
        </w:rPr>
        <w:t>- **Year 10 Equity Targets**: 40% households of color, 15% very-low-income</w:t>
      </w:r>
    </w:p>
    <w:p>
      <w:pPr>
        <w:pStyle w:val="Body"/>
        <w:bidi w:val="0"/>
      </w:pPr>
      <w:r>
        <w:rPr>
          <w:rtl w:val="0"/>
          <w:lang w:val="en-US"/>
        </w:rPr>
        <w:t>- **Intergenerational Wealth Tracking**: Per-household wealth accrual at 5/10/20/30 years</w:t>
      </w:r>
    </w:p>
    <w:p>
      <w:pPr>
        <w:pStyle w:val="Body"/>
        <w:bidi w:val="0"/>
      </w:pPr>
      <w:r>
        <w:rPr>
          <w:rtl w:val="0"/>
          <w:lang w:val="en-US"/>
        </w:rPr>
        <w:t>- **Public Dashboard**: NYC Open Data portal; council committee briefings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11: Legal &amp; Regulatory Framework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**Title Recording Standards**: Uniform covenant lien language</w:t>
      </w:r>
    </w:p>
    <w:p>
      <w:pPr>
        <w:pStyle w:val="Body"/>
        <w:bidi w:val="0"/>
      </w:pPr>
      <w:r>
        <w:rPr>
          <w:rtl w:val="0"/>
          <w:lang w:val="en-US"/>
        </w:rPr>
        <w:t>- **Right-to-Counsel Expansion**: All foreclosure defendants in PET program receive legal aid</w:t>
      </w:r>
    </w:p>
    <w:p>
      <w:pPr>
        <w:pStyle w:val="Body"/>
        <w:bidi w:val="0"/>
      </w:pPr>
      <w:r>
        <w:rPr>
          <w:rtl w:val="0"/>
          <w:lang w:val="en-US"/>
        </w:rPr>
        <w:t>- **Eviction Protections**: 120-day notice; relocation assistance; right-to-remain-renting option</w:t>
      </w:r>
    </w:p>
    <w:p>
      <w:pPr>
        <w:pStyle w:val="Body"/>
        <w:bidi w:val="0"/>
      </w:pPr>
      <w:r>
        <w:rPr>
          <w:rtl w:val="0"/>
          <w:lang w:val="en-US"/>
        </w:rPr>
        <w:t>- **Fair Housing Compliance**: Disparate impact analysis; language access; fair lending testing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12: Alternative Implementation Scenarios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**Scenario A**: HPD acquisition + CLT mediation (800 conversions/year)</w:t>
      </w:r>
    </w:p>
    <w:p>
      <w:pPr>
        <w:pStyle w:val="Body"/>
        <w:bidi w:val="0"/>
      </w:pPr>
      <w:r>
        <w:rPr>
          <w:rtl w:val="0"/>
          <w:lang w:val="en-US"/>
        </w:rPr>
        <w:t>- **Scenario B**: HRA subsidy conversion (600 conversions/year)</w:t>
      </w:r>
    </w:p>
    <w:p>
      <w:pPr>
        <w:pStyle w:val="Body"/>
        <w:bidi w:val="0"/>
      </w:pPr>
      <w:r>
        <w:rPr>
          <w:rtl w:val="0"/>
          <w:lang w:val="en-US"/>
        </w:rPr>
        <w:t>- **Scenario C**: NYCHA resident cooperatization (300 conversions/year)</w:t>
      </w:r>
    </w:p>
    <w:p>
      <w:pPr>
        <w:pStyle w:val="Body"/>
        <w:bidi w:val="0"/>
      </w:pPr>
      <w:r>
        <w:rPr>
          <w:rtl w:val="0"/>
          <w:lang w:val="en-US"/>
        </w:rPr>
        <w:t>- **Scenario D**: Alternative funding (state tax credits, CDFI capital, muni bonds)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13: Oversight, Evaluation &amp; Sunset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**Independent Evaluator**: Columbia SIPA/Furman Center</w:t>
      </w:r>
    </w:p>
    <w:p>
      <w:pPr>
        <w:pStyle w:val="Body"/>
        <w:bidi w:val="0"/>
      </w:pPr>
      <w:r>
        <w:rPr>
          <w:rtl w:val="0"/>
          <w:lang w:val="en-US"/>
        </w:rPr>
        <w:t>- **Evaluation Gates**: Year 3, 7, 10 (final summative)</w:t>
      </w:r>
    </w:p>
    <w:p>
      <w:pPr>
        <w:pStyle w:val="Body"/>
        <w:bidi w:val="0"/>
      </w:pPr>
      <w:r>
        <w:rPr>
          <w:rtl w:val="0"/>
          <w:lang w:val="en-US"/>
        </w:rPr>
        <w:t>- **Annual Public Report**: Submitted to City Council by June 30</w:t>
      </w:r>
    </w:p>
    <w:p>
      <w:pPr>
        <w:pStyle w:val="Body"/>
        <w:bidi w:val="0"/>
      </w:pPr>
      <w:r>
        <w:rPr>
          <w:rtl w:val="0"/>
          <w:lang w:val="en-US"/>
        </w:rPr>
        <w:t>- **Sunset Date**: December 31, 2035; reauthorization if 80%+ of targets met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14: Severability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If any provision struck down, remainder of law remains intact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Section 15: Effective Date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Effective immediately upon enactment; implementation begins January 1, 2026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FISCAL IMPACT SUMMARY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10-Year Municipal Investment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Category                  | Amount      |</w:t>
      </w:r>
    </w:p>
    <w:p>
      <w:pPr>
        <w:pStyle w:val="Body"/>
        <w:bidi w:val="0"/>
      </w:pPr>
      <w:r>
        <w:rPr>
          <w:rtl w:val="0"/>
          <w:lang w:val="en-US"/>
        </w:rPr>
        <w:t>| ------------------------- | ----------- |</w:t>
      </w:r>
    </w:p>
    <w:p>
      <w:pPr>
        <w:pStyle w:val="Body"/>
        <w:bidi w:val="0"/>
      </w:pPr>
      <w:r>
        <w:rPr>
          <w:rtl w:val="0"/>
          <w:lang w:val="en-US"/>
        </w:rPr>
        <w:t>| HPD Subsidy Deployment    | $680.0M     |</w:t>
      </w:r>
    </w:p>
    <w:p>
      <w:pPr>
        <w:pStyle w:val="Body"/>
        <w:bidi w:val="0"/>
      </w:pPr>
      <w:r>
        <w:rPr>
          <w:rtl w:val="0"/>
          <w:lang w:val="en-US"/>
        </w:rPr>
        <w:t>| Down Payment Assistance   | $255.0M     |</w:t>
      </w:r>
    </w:p>
    <w:p>
      <w:pPr>
        <w:pStyle w:val="Body"/>
        <w:bidi w:val="0"/>
      </w:pPr>
      <w:r>
        <w:rPr>
          <w:rtl w:val="0"/>
          <w:lang w:val="en-US"/>
        </w:rPr>
        <w:t>| CLT Operations Grants     | $22.8M      |</w:t>
      </w:r>
    </w:p>
    <w:p>
      <w:pPr>
        <w:pStyle w:val="Body"/>
        <w:bidi w:val="0"/>
      </w:pPr>
      <w:r>
        <w:rPr>
          <w:rtl w:val="0"/>
          <w:lang w:val="en-US"/>
        </w:rPr>
        <w:t>| PETO Personnel &amp; Admin    | $8.0M       |</w:t>
      </w:r>
    </w:p>
    <w:p>
      <w:pPr>
        <w:pStyle w:val="Body"/>
        <w:bidi w:val="0"/>
      </w:pPr>
      <w:r>
        <w:rPr>
          <w:rtl w:val="0"/>
          <w:lang w:val="en-US"/>
        </w:rPr>
        <w:t>| Legal &amp; Evaluation        | $7.2M       |</w:t>
      </w:r>
    </w:p>
    <w:p>
      <w:pPr>
        <w:pStyle w:val="Body"/>
        <w:bidi w:val="0"/>
      </w:pPr>
      <w:r>
        <w:rPr>
          <w:rtl w:val="0"/>
          <w:lang w:val="en-US"/>
        </w:rPr>
        <w:t>| **Total City Investment** | **$973.0M**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Offsetting Revenue &amp; Savings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Source                           | Amount      |</w:t>
      </w:r>
    </w:p>
    <w:p>
      <w:pPr>
        <w:pStyle w:val="Body"/>
        <w:bidi w:val="0"/>
      </w:pPr>
      <w:r>
        <w:rPr>
          <w:rtl w:val="0"/>
          <w:lang w:val="en-US"/>
        </w:rPr>
        <w:t>| -------------------------------- | ----------- |</w:t>
      </w:r>
    </w:p>
    <w:p>
      <w:pPr>
        <w:pStyle w:val="Body"/>
        <w:bidi w:val="0"/>
      </w:pPr>
      <w:r>
        <w:rPr>
          <w:rtl w:val="0"/>
          <w:lang w:val="en-US"/>
        </w:rPr>
        <w:t>| Property Tax Increments          | $133.4M     |</w:t>
      </w:r>
    </w:p>
    <w:p>
      <w:pPr>
        <w:pStyle w:val="Body"/>
        <w:bidi w:val="0"/>
      </w:pPr>
      <w:r>
        <w:rPr>
          <w:rtl w:val="0"/>
          <w:lang w:val="en-US"/>
        </w:rPr>
        <w:t>| HRA Subsidy Savings (redeployed) | $215.0M     |</w:t>
      </w:r>
    </w:p>
    <w:p>
      <w:pPr>
        <w:pStyle w:val="Body"/>
        <w:bidi w:val="0"/>
      </w:pPr>
      <w:r>
        <w:rPr>
          <w:rtl w:val="0"/>
          <w:lang w:val="en-US"/>
        </w:rPr>
        <w:t>| Federal Section 8 Recapture      | $47.8M      |</w:t>
      </w:r>
    </w:p>
    <w:p>
      <w:pPr>
        <w:pStyle w:val="Body"/>
        <w:bidi w:val="0"/>
      </w:pPr>
      <w:r>
        <w:rPr>
          <w:rtl w:val="0"/>
          <w:lang w:val="en-US"/>
        </w:rPr>
        <w:t>| **Total Offsets**                | **$396.2M**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**Net 10-Year City Cost: $576.8M (or $57.7M avg/year)**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Leverage Ratio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- Public: $680M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tl w:val="0"/>
        </w:rPr>
        <w:t xml:space="preserve"> </w:t>
      </w:r>
      <w:r>
        <w:rPr>
          <w:rtl w:val="0"/>
          <w:lang w:val="en-US"/>
        </w:rPr>
        <w:t>Private credit union + CLT: $2.1B</w:t>
      </w:r>
    </w:p>
    <w:p>
      <w:pPr>
        <w:pStyle w:val="Body"/>
        <w:bidi w:val="0"/>
      </w:pPr>
      <w:r>
        <w:rPr>
          <w:rtl w:val="0"/>
          <w:lang w:val="en-US"/>
        </w:rPr>
        <w:t>- **Overall leverage: 3.1x** (every $1 city invests mobilizes $3.10 in private capital)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EQUITY OUTCOMES (YEAR 10 PROJECTIONS)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By Race/Ethnicity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Group              | Target % | Projected % | Status           |</w:t>
      </w:r>
    </w:p>
    <w:p>
      <w:pPr>
        <w:pStyle w:val="Body"/>
        <w:bidi w:val="0"/>
      </w:pPr>
      <w:r>
        <w:rPr>
          <w:rtl w:val="0"/>
          <w:lang w:val="en-US"/>
        </w:rPr>
        <w:t>| ------------------ | -------- | ----------- | ---------------- |</w:t>
      </w:r>
    </w:p>
    <w:p>
      <w:pPr>
        <w:pStyle w:val="Body"/>
        <w:bidi w:val="0"/>
      </w:pPr>
      <w:r>
        <w:rPr>
          <w:rtl w:val="0"/>
        </w:rPr>
        <w:t>| Hispanic/Latino    | 42%      | 40%         | ON TRACK         |</w:t>
      </w:r>
    </w:p>
    <w:p>
      <w:pPr>
        <w:pStyle w:val="Body"/>
        <w:bidi w:val="0"/>
      </w:pPr>
      <w:r>
        <w:rPr>
          <w:rtl w:val="0"/>
        </w:rPr>
        <w:t>| Non-Hispanic Black | 25%      | 23%         | BELOW            |</w:t>
      </w:r>
    </w:p>
    <w:p>
      <w:pPr>
        <w:pStyle w:val="Body"/>
        <w:bidi w:val="0"/>
      </w:pPr>
      <w:r>
        <w:rPr>
          <w:rtl w:val="0"/>
        </w:rPr>
        <w:t>| Combined BIPOC     | 40%      | 40%         | **MEETS TARGET**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**Action Items**: Increase targeted outreach to Black households via trusted nonprofits; partner with minority-owned credit unions.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By Income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Band                   | Target % | Projected % | Status   |</w:t>
      </w:r>
    </w:p>
    <w:p>
      <w:pPr>
        <w:pStyle w:val="Body"/>
        <w:bidi w:val="0"/>
      </w:pPr>
      <w:r>
        <w:rPr>
          <w:rtl w:val="0"/>
          <w:lang w:val="en-US"/>
        </w:rPr>
        <w:t>| ---------------------- | -------- | ----------- | -------- |</w:t>
      </w:r>
    </w:p>
    <w:p>
      <w:pPr>
        <w:pStyle w:val="Body"/>
        <w:bidi w:val="0"/>
      </w:pPr>
      <w:r>
        <w:rPr>
          <w:rtl w:val="0"/>
        </w:rPr>
        <w:t>| 30</w:t>
      </w:r>
      <w:r>
        <w:rPr>
          <w:rtl w:val="0"/>
        </w:rPr>
        <w:t>–</w:t>
      </w:r>
      <w:r>
        <w:rPr>
          <w:rtl w:val="0"/>
        </w:rPr>
        <w:t>50% AMI (Very Low)  | 15%      | 14%         | NEAR     |</w:t>
      </w:r>
    </w:p>
    <w:p>
      <w:pPr>
        <w:pStyle w:val="Body"/>
        <w:bidi w:val="0"/>
      </w:pPr>
      <w:r>
        <w:rPr>
          <w:rtl w:val="0"/>
        </w:rPr>
        <w:t>| 50</w:t>
      </w:r>
      <w:r>
        <w:rPr>
          <w:rtl w:val="0"/>
        </w:rPr>
        <w:t>–</w:t>
      </w:r>
      <w:r>
        <w:rPr>
          <w:rtl w:val="0"/>
        </w:rPr>
        <w:t>80% AMI (Low-Mod)   | 45%      | 46%         | ON TRACK |</w:t>
      </w:r>
    </w:p>
    <w:p>
      <w:pPr>
        <w:pStyle w:val="Body"/>
        <w:bidi w:val="0"/>
      </w:pPr>
      <w:r>
        <w:rPr>
          <w:rtl w:val="0"/>
        </w:rPr>
        <w:t>| 80</w:t>
      </w:r>
      <w:r>
        <w:rPr>
          <w:rtl w:val="0"/>
        </w:rPr>
        <w:t>–</w:t>
      </w:r>
      <w:r>
        <w:rPr>
          <w:rtl w:val="0"/>
        </w:rPr>
        <w:t>120% AMI (Moderate) | 40%      | 40%         | ON TRACK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**Action Items**: Increase down payment assistance for \&lt;50% AMI from 20% to 30%; cross-list with HRA.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By Borough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| Borough       | Conversions | Tax Revenue | ROI       |</w:t>
      </w:r>
    </w:p>
    <w:p>
      <w:pPr>
        <w:pStyle w:val="Body"/>
        <w:bidi w:val="0"/>
      </w:pPr>
      <w:r>
        <w:rPr>
          <w:rtl w:val="0"/>
          <w:lang w:val="en-US"/>
        </w:rPr>
        <w:t>| ------------- | ----------- | ----------- | --------- |</w:t>
      </w:r>
    </w:p>
    <w:p>
      <w:pPr>
        <w:pStyle w:val="Body"/>
        <w:bidi w:val="0"/>
      </w:pPr>
      <w:r>
        <w:rPr>
          <w:rtl w:val="0"/>
        </w:rPr>
        <w:t>| Manhattan     | 4,000       | $14.4M      | 1.85x     |</w:t>
      </w:r>
    </w:p>
    <w:p>
      <w:pPr>
        <w:pStyle w:val="Body"/>
        <w:bidi w:val="0"/>
      </w:pPr>
      <w:r>
        <w:rPr>
          <w:rtl w:val="0"/>
        </w:rPr>
        <w:t>| Brooklyn      | 15,000      | $38.3M      | 1.92x     |</w:t>
      </w:r>
    </w:p>
    <w:p>
      <w:pPr>
        <w:pStyle w:val="Body"/>
        <w:bidi w:val="0"/>
      </w:pPr>
      <w:r>
        <w:rPr>
          <w:rtl w:val="0"/>
        </w:rPr>
        <w:t>| Bronx         | 16,000      | $36.0M      | 1.95x     |</w:t>
      </w:r>
    </w:p>
    <w:p>
      <w:pPr>
        <w:pStyle w:val="Body"/>
        <w:bidi w:val="0"/>
      </w:pPr>
      <w:r>
        <w:rPr>
          <w:rtl w:val="0"/>
        </w:rPr>
        <w:t>| Queens        | 12,000      | $34.2M      | 1.89x     |</w:t>
      </w:r>
    </w:p>
    <w:p>
      <w:pPr>
        <w:pStyle w:val="Body"/>
        <w:bidi w:val="0"/>
      </w:pPr>
      <w:r>
        <w:rPr>
          <w:rtl w:val="0"/>
        </w:rPr>
        <w:t>| Staten Island | 3,500       | $10.5M      | 1.88x     |</w:t>
      </w:r>
    </w:p>
    <w:p>
      <w:pPr>
        <w:pStyle w:val="Body"/>
        <w:bidi w:val="0"/>
      </w:pPr>
      <w:r>
        <w:rPr>
          <w:rtl w:val="0"/>
          <w:lang w:val="en-US"/>
        </w:rPr>
        <w:t>| **TOTAL**     | **50,500**  | **$133.4M** | **1.91x**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FINANCIAL PROJECTIONS: THREE SCENARIOS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Conservative (55% uptake, 3.5% default, 6.5% rates)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Year 10 Conversions: 4,400</w:t>
      </w:r>
    </w:p>
    <w:p>
      <w:pPr>
        <w:pStyle w:val="Body"/>
        <w:bidi w:val="0"/>
      </w:pPr>
      <w:r>
        <w:rPr>
          <w:rtl w:val="0"/>
        </w:rPr>
        <w:t>- Cumulative ROI: 1.10x</w:t>
      </w:r>
    </w:p>
    <w:p>
      <w:pPr>
        <w:pStyle w:val="Body"/>
        <w:bidi w:val="0"/>
      </w:pPr>
      <w:r>
        <w:rPr>
          <w:rtl w:val="0"/>
          <w:lang w:val="da-DK"/>
        </w:rPr>
        <w:t>- Risk Level: Medium</w:t>
      </w:r>
    </w:p>
    <w:p>
      <w:pPr>
        <w:pStyle w:val="Body"/>
        <w:bidi w:val="0"/>
      </w:pPr>
      <w:r>
        <w:rPr>
          <w:rtl w:val="0"/>
          <w:lang w:val="en-US"/>
        </w:rPr>
        <w:t>- Recovery Mechanism: CU forbearance + loss reserve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### Base Case (70% uptake, 2.0% default, 5.8% rates)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- Year 10 Conversions: 5,600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✓</w:t>
      </w:r>
    </w:p>
    <w:p>
      <w:pPr>
        <w:pStyle w:val="Body"/>
        <w:bidi w:val="0"/>
      </w:pPr>
      <w:r>
        <w:rPr>
          <w:rtl w:val="0"/>
        </w:rPr>
        <w:t>- Cumulative ROI: 1.296x</w:t>
      </w:r>
    </w:p>
    <w:p>
      <w:pPr>
        <w:pStyle w:val="Body"/>
        <w:bidi w:val="0"/>
      </w:pPr>
      <w:r>
        <w:rPr>
          <w:rtl w:val="0"/>
          <w:lang w:val="da-DK"/>
        </w:rPr>
        <w:t>- Risk Level: Low-Medium</w:t>
      </w:r>
    </w:p>
    <w:p>
      <w:pPr>
        <w:pStyle w:val="Body"/>
        <w:bidi w:val="0"/>
      </w:pPr>
      <w:r>
        <w:rPr>
          <w:rtl w:val="0"/>
          <w:lang w:val="it-IT"/>
        </w:rPr>
        <w:t>- Status: On-track scenario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Optimistic (85% uptake, 1.0% default, 5.2% rates)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Year 10 Conversions: 6,799</w:t>
      </w:r>
    </w:p>
    <w:p>
      <w:pPr>
        <w:pStyle w:val="Body"/>
        <w:bidi w:val="0"/>
      </w:pPr>
      <w:r>
        <w:rPr>
          <w:rtl w:val="0"/>
        </w:rPr>
        <w:t>- Cumulative ROI: 1.478x</w:t>
      </w:r>
    </w:p>
    <w:p>
      <w:pPr>
        <w:pStyle w:val="Body"/>
        <w:bidi w:val="0"/>
      </w:pPr>
      <w:r>
        <w:rPr>
          <w:rtl w:val="0"/>
          <w:lang w:val="da-DK"/>
        </w:rPr>
        <w:t>- Risk Level: Low</w:t>
      </w:r>
    </w:p>
    <w:p>
      <w:pPr>
        <w:pStyle w:val="Body"/>
        <w:bidi w:val="0"/>
      </w:pPr>
      <w:r>
        <w:rPr>
          <w:rtl w:val="0"/>
          <w:lang w:val="en-US"/>
        </w:rPr>
        <w:t>- Bonus: Achieves 40% BIPOC target by Year 8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 STRESS TEST RESILIENCE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Recession Scenario (Years 3</w:t>
      </w:r>
      <w:r>
        <w:rPr>
          <w:rtl w:val="0"/>
        </w:rPr>
        <w:t>–</w:t>
      </w:r>
      <w:r>
        <w:rPr>
          <w:rtl w:val="0"/>
        </w:rPr>
        <w:t>5: 15</w:t>
      </w:r>
      <w:r>
        <w:rPr>
          <w:rtl w:val="0"/>
        </w:rPr>
        <w:t>–</w:t>
      </w:r>
      <w:r>
        <w:rPr>
          <w:rtl w:val="0"/>
          <w:lang w:val="en-US"/>
        </w:rPr>
        <w:t>20% home value decline)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**Impact**: Year 10 conversions drop to 4,770 (15% reduction)</w:t>
      </w:r>
    </w:p>
    <w:p>
      <w:pPr>
        <w:pStyle w:val="Body"/>
        <w:bidi w:val="0"/>
      </w:pPr>
      <w:r>
        <w:rPr>
          <w:rtl w:val="0"/>
          <w:lang w:val="en-US"/>
        </w:rPr>
        <w:t>- **Loss Severity**: Default spike to 8%; $42M cumulative loss</w:t>
      </w:r>
    </w:p>
    <w:p>
      <w:pPr>
        <w:pStyle w:val="Body"/>
        <w:bidi w:val="0"/>
      </w:pPr>
      <w:r>
        <w:rPr>
          <w:rtl w:val="0"/>
          <w:lang w:val="en-US"/>
        </w:rPr>
        <w:t>- **Recovery**: Years 6</w:t>
      </w:r>
      <w:r>
        <w:rPr>
          <w:rtl w:val="0"/>
        </w:rPr>
        <w:t>–</w:t>
      </w:r>
      <w:r>
        <w:rPr>
          <w:rtl w:val="0"/>
          <w:lang w:val="en-US"/>
        </w:rPr>
        <w:t>10 show recovery to 450 conversions/year</w:t>
      </w:r>
    </w:p>
    <w:p>
      <w:pPr>
        <w:pStyle w:val="Body"/>
        <w:bidi w:val="0"/>
      </w:pPr>
      <w:r>
        <w:rPr>
          <w:rtl w:val="0"/>
          <w:lang w:val="en-US"/>
        </w:rPr>
        <w:t>- **Mitigation**: CU reserve fund ($50M minimum); covenant forbearance protocol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Policy Reversal Scenario (Federal subsidy cut 30%, 2-year pause)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**Impact**: Year 10 conversions drop to 3,000 (46% reduction vs. base)</w:t>
      </w:r>
    </w:p>
    <w:p>
      <w:pPr>
        <w:pStyle w:val="Body"/>
        <w:bidi w:val="0"/>
      </w:pPr>
      <w:r>
        <w:rPr>
          <w:rtl w:val="0"/>
          <w:lang w:val="en-US"/>
        </w:rPr>
        <w:t>- **Recovery Mechanism**: State supplemental funding ($100M</w:t>
      </w:r>
      <w:r>
        <w:rPr>
          <w:rtl w:val="0"/>
        </w:rPr>
        <w:t>–</w:t>
      </w:r>
      <w:r>
        <w:rPr>
          <w:rtl w:val="0"/>
          <w:lang w:val="en-US"/>
        </w:rPr>
        <w:t>$150M) + CDFI capital</w:t>
      </w:r>
    </w:p>
    <w:p>
      <w:pPr>
        <w:pStyle w:val="Body"/>
        <w:bidi w:val="0"/>
      </w:pPr>
      <w:r>
        <w:rPr>
          <w:rtl w:val="0"/>
          <w:lang w:val="en-US"/>
        </w:rPr>
        <w:t>- **Timeline**: Recovery by Year 8; near-baseline by Year 10</w:t>
      </w:r>
    </w:p>
    <w:p>
      <w:pPr>
        <w:pStyle w:val="Body"/>
        <w:bidi w:val="0"/>
      </w:pPr>
      <w:r>
        <w:rPr>
          <w:rtl w:val="0"/>
          <w:lang w:val="en-US"/>
        </w:rPr>
        <w:t>- **Recommendation**: Diversify funding sources; establish state backup commitment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Chronic Low Uptake Scenario (45% vs. base 70%)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**Impact**: Year 10 conversions drop to 2,400 (57% reduction); extended 12-year timeline</w:t>
      </w:r>
    </w:p>
    <w:p>
      <w:pPr>
        <w:pStyle w:val="Body"/>
        <w:bidi w:val="0"/>
      </w:pPr>
      <w:r>
        <w:rPr>
          <w:rtl w:val="0"/>
          <w:lang w:val="en-US"/>
        </w:rPr>
        <w:t>- **Cost**: Average annual deployment slower but more sustainable</w:t>
      </w:r>
    </w:p>
    <w:p>
      <w:pPr>
        <w:pStyle w:val="Body"/>
        <w:bidi w:val="0"/>
      </w:pPr>
      <w:r>
        <w:rPr>
          <w:rtl w:val="0"/>
          <w:lang w:val="en-US"/>
        </w:rPr>
        <w:t>- **Mitigation**: Tenant outreach increase; CLT educational campaigns; remove red tape</w:t>
      </w:r>
    </w:p>
    <w:p>
      <w:pPr>
        <w:pStyle w:val="Body"/>
        <w:bidi w:val="0"/>
      </w:pPr>
      <w:r>
        <w:rPr>
          <w:rtl w:val="0"/>
          <w:lang w:val="en-US"/>
        </w:rPr>
        <w:t>- **Recommendation**: Baseline risk tolerance acceptable given program flexibility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## INTERGENERATIONAL WEALTH IMPACT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Per-Household Wealth Accrual (10 Years)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Metric                               | Base Case | Conservative | Optimistic |</w:t>
      </w:r>
    </w:p>
    <w:p>
      <w:pPr>
        <w:pStyle w:val="Body"/>
        <w:bidi w:val="0"/>
      </w:pPr>
      <w:r>
        <w:rPr>
          <w:rtl w:val="0"/>
          <w:lang w:val="en-US"/>
        </w:rPr>
        <w:t>| ------------------------------------ | --------- | ------------ | ---------- |</w:t>
      </w:r>
    </w:p>
    <w:p>
      <w:pPr>
        <w:pStyle w:val="Body"/>
        <w:bidi w:val="0"/>
      </w:pPr>
      <w:r>
        <w:rPr>
          <w:rtl w:val="0"/>
          <w:lang w:val="en-US"/>
        </w:rPr>
        <w:t>| Homeowner Equity Buildup             | $85K      | $71K         | $100K      |</w:t>
      </w:r>
    </w:p>
    <w:p>
      <w:pPr>
        <w:pStyle w:val="Body"/>
        <w:bidi w:val="0"/>
      </w:pPr>
      <w:r>
        <w:rPr>
          <w:rtl w:val="0"/>
          <w:lang w:val="en-US"/>
        </w:rPr>
        <w:t>| CLT Community Wealth Capture         | $35K      | $28K         | $44K       |</w:t>
      </w:r>
    </w:p>
    <w:p>
      <w:pPr>
        <w:pStyle w:val="Body"/>
        <w:bidi w:val="0"/>
      </w:pPr>
      <w:r>
        <w:rPr>
          <w:rtl w:val="0"/>
          <w:lang w:val="en-US"/>
        </w:rPr>
        <w:t>| Intergenerational Transfer Potential | $102K     | $86K         | $125K     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Aggregate City-Wide (Year 10)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| Outcome                              | Amount      |</w:t>
      </w:r>
    </w:p>
    <w:p>
      <w:pPr>
        <w:pStyle w:val="Body"/>
        <w:bidi w:val="0"/>
      </w:pPr>
      <w:r>
        <w:rPr>
          <w:rtl w:val="0"/>
          <w:lang w:val="en-US"/>
        </w:rPr>
        <w:t>| ------------------------------------ | ----------- |</w:t>
      </w:r>
    </w:p>
    <w:p>
      <w:pPr>
        <w:pStyle w:val="Body"/>
        <w:bidi w:val="0"/>
      </w:pPr>
      <w:r>
        <w:rPr>
          <w:rtl w:val="0"/>
          <w:lang w:val="en-US"/>
        </w:rPr>
        <w:t>| Total Homeowner Equity               | $138.8M     |</w:t>
      </w:r>
    </w:p>
    <w:p>
      <w:pPr>
        <w:pStyle w:val="Body"/>
        <w:bidi w:val="0"/>
      </w:pPr>
      <w:r>
        <w:rPr>
          <w:rtl w:val="0"/>
          <w:lang w:val="en-US"/>
        </w:rPr>
        <w:t>| Total CLT Community Wealth           | $197.4M     |</w:t>
      </w:r>
    </w:p>
    <w:p>
      <w:pPr>
        <w:pStyle w:val="Body"/>
        <w:bidi w:val="0"/>
      </w:pPr>
      <w:r>
        <w:rPr>
          <w:rtl w:val="0"/>
          <w:lang w:val="en-US"/>
        </w:rPr>
        <w:t>| Property Tax Increments              | $133.4M     |</w:t>
      </w:r>
    </w:p>
    <w:p>
      <w:pPr>
        <w:pStyle w:val="Body"/>
        <w:bidi w:val="0"/>
      </w:pPr>
      <w:r>
        <w:rPr>
          <w:rtl w:val="0"/>
          <w:lang w:val="en-US"/>
        </w:rPr>
        <w:t>| **Total Intergenerational Transfer** | **$572.6M** |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**Interpretation**: $572.6M in real wealth transferred from municipal subsidy stream into individual family equity and community assets; reduces intergenerational poverty; builds BIPOC generational wealth.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## NEXT STEPS &amp; IMPLEMENTATION ROADMAP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### Immediate (Q1</w:t>
      </w:r>
      <w:r>
        <w:rPr>
          <w:rtl w:val="0"/>
        </w:rPr>
        <w:t>–</w:t>
      </w:r>
      <w:r>
        <w:rPr>
          <w:rtl w:val="0"/>
        </w:rPr>
        <w:t>Q2 2026)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 **Enact Local Law** by City Council; HPD establish PETO</w:t>
      </w:r>
    </w:p>
    <w:p>
      <w:pPr>
        <w:pStyle w:val="Body"/>
        <w:bidi w:val="0"/>
      </w:pPr>
      <w:r>
        <w:rPr>
          <w:rtl w:val="0"/>
          <w:lang w:val="en-US"/>
        </w:rPr>
        <w:t>1. **Recruit Credit Union Partners**: Launch partner selection; finalize loan product terms</w:t>
      </w:r>
    </w:p>
    <w:p>
      <w:pPr>
        <w:pStyle w:val="Body"/>
        <w:bidi w:val="0"/>
      </w:pPr>
      <w:r>
        <w:rPr>
          <w:rtl w:val="0"/>
          <w:lang w:val="en-US"/>
        </w:rPr>
        <w:t>1. **Engage CLT Network**: Formalize partnership agreements; distribute first-year grants</w:t>
      </w:r>
    </w:p>
    <w:p>
      <w:pPr>
        <w:pStyle w:val="Body"/>
        <w:bidi w:val="0"/>
      </w:pPr>
      <w:r>
        <w:rPr>
          <w:rtl w:val="0"/>
          <w:lang w:val="en-US"/>
        </w:rPr>
        <w:t>1. **Subsidy Reallocation**: HPD/HRA/NYCHA coordinate budget reallocations</w:t>
      </w:r>
    </w:p>
    <w:p>
      <w:pPr>
        <w:pStyle w:val="Body"/>
        <w:bidi w:val="0"/>
      </w:pPr>
      <w:r>
        <w:rPr>
          <w:rtl w:val="0"/>
          <w:lang w:val="en-US"/>
        </w:rPr>
        <w:t>1. **Tenant Outreach**: Launch awareness campaign in Top 20 CD's; disseminate in 15+ languages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Phase 1 Implementation (2026</w:t>
      </w:r>
      <w:r>
        <w:rPr>
          <w:rtl w:val="0"/>
        </w:rPr>
        <w:t>–</w:t>
      </w:r>
      <w:r>
        <w:rPr>
          <w:rtl w:val="0"/>
        </w:rPr>
        <w:t>2028)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- 750 conversions/year (Years 1</w:t>
      </w:r>
      <w:r>
        <w:rPr>
          <w:rtl w:val="0"/>
        </w:rPr>
        <w:t>–</w:t>
      </w:r>
      <w:r>
        <w:rPr>
          <w:rtl w:val="0"/>
        </w:rPr>
        <w:t>3)</w:t>
      </w:r>
    </w:p>
    <w:p>
      <w:pPr>
        <w:pStyle w:val="Body"/>
        <w:bidi w:val="0"/>
      </w:pPr>
      <w:r>
        <w:rPr>
          <w:rtl w:val="0"/>
          <w:lang w:val="en-US"/>
        </w:rPr>
        <w:t>- Credit union originations: 800/year target</w:t>
      </w:r>
    </w:p>
    <w:p>
      <w:pPr>
        <w:pStyle w:val="Body"/>
        <w:bidi w:val="0"/>
      </w:pPr>
      <w:r>
        <w:rPr>
          <w:rtl w:val="0"/>
          <w:lang w:val="en-US"/>
        </w:rPr>
        <w:t>- CLT partnerships: Full 12-partner network operational</w:t>
      </w:r>
    </w:p>
    <w:p>
      <w:pPr>
        <w:pStyle w:val="Body"/>
        <w:bidi w:val="0"/>
      </w:pPr>
      <w:r>
        <w:rPr>
          <w:rtl w:val="0"/>
          <w:lang w:val="en-US"/>
        </w:rPr>
        <w:t>- First cohort reaches Year 3 stability milestones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Mid-Term Review (Year 3)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Independent evaluator assessment</w:t>
      </w:r>
    </w:p>
    <w:p>
      <w:pPr>
        <w:pStyle w:val="Body"/>
        <w:bidi w:val="0"/>
      </w:pPr>
      <w:r>
        <w:rPr>
          <w:rtl w:val="0"/>
          <w:lang w:val="en-US"/>
        </w:rPr>
        <w:t>- Equity gate review: BIPOC/income targets</w:t>
      </w:r>
    </w:p>
    <w:p>
      <w:pPr>
        <w:pStyle w:val="Body"/>
        <w:bidi w:val="0"/>
      </w:pPr>
      <w:r>
        <w:rPr>
          <w:rtl w:val="0"/>
          <w:lang w:val="en-US"/>
        </w:rPr>
        <w:t>- Credit union performance scorecard</w:t>
      </w:r>
    </w:p>
    <w:p>
      <w:pPr>
        <w:pStyle w:val="Body"/>
        <w:bidi w:val="0"/>
      </w:pPr>
      <w:r>
        <w:rPr>
          <w:rtl w:val="0"/>
          <w:lang w:val="en-US"/>
        </w:rPr>
        <w:t>- Policy amendments as needed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Program Expansion (2029</w:t>
      </w:r>
      <w:r>
        <w:rPr>
          <w:rtl w:val="0"/>
        </w:rPr>
        <w:t>–</w:t>
      </w:r>
      <w:r>
        <w:rPr>
          <w:rtl w:val="0"/>
        </w:rPr>
        <w:t>2032)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Scaling to 1,200</w:t>
      </w:r>
      <w:r>
        <w:rPr>
          <w:rtl w:val="0"/>
        </w:rPr>
        <w:t>–</w:t>
      </w:r>
      <w:r>
        <w:rPr>
          <w:rtl w:val="0"/>
          <w:lang w:val="en-US"/>
        </w:rPr>
        <w:t>1,600 conversions/year</w:t>
      </w:r>
    </w:p>
    <w:p>
      <w:pPr>
        <w:pStyle w:val="Body"/>
        <w:bidi w:val="0"/>
      </w:pPr>
      <w:r>
        <w:rPr>
          <w:rtl w:val="0"/>
          <w:lang w:val="en-US"/>
        </w:rPr>
        <w:t>- State supplemental funding integration</w:t>
      </w:r>
    </w:p>
    <w:p>
      <w:pPr>
        <w:pStyle w:val="Body"/>
        <w:bidi w:val="0"/>
      </w:pPr>
      <w:r>
        <w:rPr>
          <w:rtl w:val="0"/>
          <w:lang w:val="en-US"/>
        </w:rPr>
        <w:t>- Alternative funding mechanisms (bonds, CDFI)</w:t>
      </w:r>
    </w:p>
    <w:p>
      <w:pPr>
        <w:pStyle w:val="Body"/>
        <w:bidi w:val="0"/>
      </w:pPr>
      <w:r>
        <w:rPr>
          <w:rtl w:val="0"/>
          <w:lang w:val="en-US"/>
        </w:rPr>
        <w:t>- Additional CLT partnerships if capacity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### Final Evaluation &amp; Reauthorization Decision (Year 10, 2035)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Summative impact evaluation</w:t>
      </w:r>
    </w:p>
    <w:p>
      <w:pPr>
        <w:pStyle w:val="Body"/>
        <w:bidi w:val="0"/>
      </w:pPr>
      <w:r>
        <w:rPr>
          <w:rtl w:val="0"/>
          <w:lang w:val="en-US"/>
        </w:rPr>
        <w:t>- Reauthorization decision: 5-year extension if targets met</w:t>
      </w:r>
    </w:p>
    <w:p>
      <w:pPr>
        <w:pStyle w:val="Body"/>
        <w:bidi w:val="0"/>
      </w:pPr>
      <w:r>
        <w:rPr>
          <w:rtl w:val="0"/>
          <w:lang w:val="en-US"/>
        </w:rPr>
        <w:t>- Perpetual covenant endowment establishment</w:t>
      </w:r>
    </w:p>
    <w:p>
      <w:pPr>
        <w:pStyle w:val="Body"/>
        <w:bidi w:val="0"/>
      </w:pPr>
      <w:r>
        <w:rPr>
          <w:rtl w:val="0"/>
          <w:lang w:val="en-US"/>
        </w:rPr>
        <w:t>- Transition plan for post-program covenant stewardship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## CONCLUSION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The **Public Equity Transfer Act** transforms NYC's housing subsidy framework from **dependency** to **ownership**, from **rental payments to lenders** to **equity accrual to families**, from **municipal expense** to **municipal wealth**.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By redeploying existing $680M in annual subsidies through CLTs and credit unions, NYC can: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- Convert 5,600+ eligible households to homeowners</w:t>
      </w:r>
    </w:p>
    <w:p>
      <w:pPr>
        <w:pStyle w:val="Body"/>
        <w:bidi w:val="0"/>
      </w:pPr>
      <w:r>
        <w:rPr>
          <w:rtl w:val="0"/>
          <w:lang w:val="en-US"/>
        </w:rPr>
        <w:t>- Build $572.6M in intergenerational family wealth</w:t>
      </w:r>
    </w:p>
    <w:p>
      <w:pPr>
        <w:pStyle w:val="Body"/>
        <w:bidi w:val="0"/>
      </w:pPr>
      <w:r>
        <w:rPr>
          <w:rtl w:val="0"/>
          <w:lang w:val="en-US"/>
        </w:rPr>
        <w:t>- Capture $197.4M in community assets via CLTs</w:t>
      </w:r>
    </w:p>
    <w:p>
      <w:pPr>
        <w:pStyle w:val="Body"/>
        <w:bidi w:val="0"/>
      </w:pPr>
      <w:r>
        <w:rPr>
          <w:rtl w:val="0"/>
          <w:lang w:val="en-US"/>
        </w:rPr>
        <w:t>- Generate $133.4M in new property tax revenue</w:t>
      </w:r>
    </w:p>
    <w:p>
      <w:pPr>
        <w:pStyle w:val="Body"/>
        <w:bidi w:val="0"/>
      </w:pPr>
      <w:r>
        <w:rPr>
          <w:rtl w:val="0"/>
          <w:lang w:val="en-US"/>
        </w:rPr>
        <w:t>- Achieve 1.296x fiscal ROI</w:t>
      </w:r>
    </w:p>
    <w:p>
      <w:pPr>
        <w:pStyle w:val="Body"/>
        <w:bidi w:val="0"/>
      </w:pPr>
      <w:r>
        <w:rPr>
          <w:rtl w:val="0"/>
          <w:lang w:val="en-US"/>
        </w:rPr>
        <w:t>- Advance racial and income equity in homeownership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The Act's design prioritizes **intergenerational equity**, **community wealth-building**, **permanent affordability**, and **fiscal sustainability**</w:t>
      </w:r>
      <w:r>
        <w:rPr>
          <w:rtl w:val="0"/>
          <w:lang w:val="en-US"/>
        </w:rPr>
        <w:t>—</w:t>
      </w:r>
      <w:r>
        <w:rPr>
          <w:rtl w:val="0"/>
          <w:lang w:val="en-US"/>
        </w:rPr>
        <w:t>aligning NYC's housing subsidy system with 21st-century values of asset-building and economic justice.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**Prepared by**: NYC Department of Housing Preservation and Development, Public Equity Transfer Office</w:t>
      </w:r>
    </w:p>
    <w:p>
      <w:pPr>
        <w:pStyle w:val="Body"/>
        <w:bidi w:val="0"/>
      </w:pPr>
      <w:r>
        <w:rPr>
          <w:rtl w:val="0"/>
          <w:lang w:val="en-US"/>
        </w:rPr>
        <w:t>**Date**: December 30, 2025</w:t>
      </w:r>
    </w:p>
    <w:p>
      <w:pPr>
        <w:pStyle w:val="Body"/>
        <w:bidi w:val="0"/>
      </w:pPr>
      <w:r>
        <w:rPr>
          <w:rtl w:val="0"/>
          <w:lang w:val="en-US"/>
        </w:rPr>
        <w:t>**Version**: 2.0 (Final Draft for City Council Introduction)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